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教师</w:t>
      </w:r>
      <w:r>
        <w:rPr>
          <w:rFonts w:ascii="微软雅黑" w:hAnsi="微软雅黑" w:eastAsia="微软雅黑"/>
          <w:sz w:val="24"/>
          <w:szCs w:val="24"/>
        </w:rPr>
        <w:t>自检操作流程：</w:t>
      </w:r>
    </w:p>
    <w:p>
      <w:pPr>
        <w:pStyle w:val="10"/>
        <w:numPr>
          <w:ilvl w:val="0"/>
          <w:numId w:val="1"/>
        </w:numPr>
        <w:ind w:firstLineChars="0"/>
        <w:rPr>
          <w:rFonts w:ascii="微软雅黑" w:hAnsi="微软雅黑" w:eastAsia="微软雅黑" w:cs="Helvetica"/>
          <w:kern w:val="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打开网址：</w:t>
      </w:r>
      <w:r>
        <w:rPr>
          <w:rStyle w:val="6"/>
          <w:rFonts w:hint="eastAsia" w:ascii="&amp;quot" w:hAnsi="&amp;quot"/>
          <w:color w:val="266298"/>
          <w:szCs w:val="21"/>
        </w:rPr>
        <w:t>http://vpcs.cqvip.com/personal/hezeu</w:t>
      </w:r>
      <w:r>
        <w:rPr>
          <w:rFonts w:ascii="Helvetica" w:hAnsi="Helvetica" w:cs="Helvetica"/>
          <w:color w:val="363B42"/>
          <w:szCs w:val="21"/>
        </w:rPr>
        <w:t xml:space="preserve"> </w:t>
      </w:r>
      <w:r>
        <w:rPr>
          <w:rFonts w:hint="eastAsia" w:ascii="微软雅黑" w:hAnsi="微软雅黑" w:eastAsia="微软雅黑" w:cs="Helvetica"/>
          <w:kern w:val="0"/>
          <w:sz w:val="24"/>
          <w:szCs w:val="24"/>
        </w:rPr>
        <w:t xml:space="preserve"> </w:t>
      </w:r>
      <w:r>
        <w:rPr>
          <w:rFonts w:ascii="微软雅黑" w:hAnsi="微软雅黑" w:eastAsia="微软雅黑" w:cs="Helvetica"/>
          <w:kern w:val="0"/>
          <w:sz w:val="24"/>
          <w:szCs w:val="24"/>
        </w:rPr>
        <w:t>选择</w:t>
      </w: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“注册”并“登录”</w:t>
      </w:r>
    </w:p>
    <w:p>
      <w:pPr>
        <w:spacing w:line="360" w:lineRule="auto"/>
        <w:ind w:firstLine="211" w:firstLineChars="100"/>
        <w:rPr>
          <w:rFonts w:ascii="微软雅黑" w:hAnsi="微软雅黑" w:eastAsia="微软雅黑" w:cs="Helvetica"/>
          <w:kern w:val="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Cs w:val="21"/>
        </w:rPr>
        <w:t>* 不注册也可直接进行检测，并获取检测结果，但注册会员拥有个人中心，并能长期保存报告；</w:t>
      </w:r>
    </w:p>
    <w:p>
      <w:pPr>
        <w:pStyle w:val="10"/>
        <w:ind w:left="360" w:firstLine="0" w:firstLineChars="0"/>
        <w:rPr>
          <w:rFonts w:ascii="微软雅黑" w:hAnsi="微软雅黑" w:eastAsia="微软雅黑" w:cs="Helvetica"/>
          <w:kern w:val="0"/>
          <w:sz w:val="24"/>
          <w:szCs w:val="24"/>
        </w:rPr>
      </w:pPr>
      <w:r>
        <w:drawing>
          <wp:inline distT="0" distB="0" distL="114300" distR="114300">
            <wp:extent cx="5268595" cy="2628900"/>
            <wp:effectExtent l="0" t="0" r="825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rFonts w:ascii="微软雅黑" w:hAnsi="微软雅黑" w:eastAsia="微软雅黑" w:cs="Helvetica"/>
          <w:kern w:val="0"/>
          <w:sz w:val="24"/>
          <w:szCs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登录后，选择</w:t>
      </w:r>
      <w:r>
        <w:rPr>
          <w:rFonts w:hint="eastAsia" w:ascii="微软雅黑" w:hAnsi="微软雅黑" w:eastAsia="微软雅黑"/>
          <w:sz w:val="24"/>
          <w:szCs w:val="24"/>
        </w:rPr>
        <w:t>版本</w:t>
      </w:r>
      <w:r>
        <w:rPr>
          <w:rFonts w:ascii="微软雅黑" w:hAnsi="微软雅黑" w:eastAsia="微软雅黑"/>
          <w:sz w:val="24"/>
          <w:szCs w:val="24"/>
        </w:rPr>
        <w:t>。</w:t>
      </w:r>
      <w:r>
        <w:rPr>
          <w:rFonts w:hint="eastAsia" w:ascii="微软雅黑" w:hAnsi="微软雅黑" w:eastAsia="微软雅黑"/>
          <w:sz w:val="24"/>
          <w:szCs w:val="24"/>
        </w:rPr>
        <w:t>版本选择指南及收费介绍</w:t>
      </w:r>
      <w:r>
        <w:rPr>
          <w:rFonts w:ascii="微软雅黑" w:hAnsi="微软雅黑" w:eastAsia="微软雅黑"/>
          <w:sz w:val="24"/>
          <w:szCs w:val="24"/>
        </w:rPr>
        <w:t>：</w:t>
      </w:r>
    </w:p>
    <w:tbl>
      <w:tblPr>
        <w:tblStyle w:val="7"/>
        <w:tblW w:w="9274" w:type="dxa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4"/>
        <w:gridCol w:w="1854"/>
        <w:gridCol w:w="1854"/>
        <w:gridCol w:w="1854"/>
        <w:gridCol w:w="185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18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版本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大学生版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研究生版</w:t>
            </w:r>
          </w:p>
        </w:tc>
        <w:tc>
          <w:tcPr>
            <w:tcW w:w="1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编辑部版</w:t>
            </w:r>
          </w:p>
        </w:tc>
        <w:tc>
          <w:tcPr>
            <w:tcW w:w="1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职称认定版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8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适用类型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本科/专科论文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研究生/博士论文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期刊投稿、会议论文、报告等</w:t>
            </w:r>
          </w:p>
        </w:tc>
        <w:tc>
          <w:tcPr>
            <w:tcW w:w="1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职称评审论文、已发表论文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8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官网价格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3</w:t>
            </w: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元/千字符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3</w:t>
            </w: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元/千字符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3</w:t>
            </w: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元/千字符</w:t>
            </w:r>
          </w:p>
        </w:tc>
        <w:tc>
          <w:tcPr>
            <w:tcW w:w="1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b/>
                <w:bCs/>
                <w:kern w:val="0"/>
                <w:sz w:val="18"/>
                <w:szCs w:val="18"/>
              </w:rPr>
              <w:t>30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元</w:t>
            </w: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万字符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8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333333"/>
                <w:kern w:val="0"/>
                <w:sz w:val="18"/>
                <w:szCs w:val="18"/>
              </w:rPr>
              <w:t>定制通道价格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2.7</w:t>
            </w:r>
            <w:r>
              <w:rPr>
                <w:rFonts w:hint="eastAsia"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元</w:t>
            </w:r>
            <w:r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千字符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2.7</w:t>
            </w:r>
            <w:r>
              <w:rPr>
                <w:rFonts w:hint="eastAsia"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元</w:t>
            </w:r>
            <w:r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千字符</w:t>
            </w:r>
          </w:p>
        </w:tc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2.7</w:t>
            </w:r>
            <w:r>
              <w:rPr>
                <w:rFonts w:hint="eastAsia"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元</w:t>
            </w:r>
            <w:r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千字符</w:t>
            </w:r>
          </w:p>
        </w:tc>
        <w:tc>
          <w:tcPr>
            <w:tcW w:w="1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27</w:t>
            </w:r>
            <w:r>
              <w:rPr>
                <w:rFonts w:hint="eastAsia"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元</w:t>
            </w:r>
            <w:r>
              <w:rPr>
                <w:rFonts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 w:cs="宋体"/>
                <w:b/>
                <w:bCs/>
                <w:color w:val="333333"/>
                <w:kern w:val="0"/>
                <w:sz w:val="18"/>
                <w:szCs w:val="18"/>
              </w:rPr>
              <w:t>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185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检测资源</w:t>
            </w:r>
          </w:p>
        </w:tc>
        <w:tc>
          <w:tcPr>
            <w:tcW w:w="742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333333"/>
                <w:kern w:val="0"/>
                <w:sz w:val="18"/>
                <w:szCs w:val="18"/>
              </w:rPr>
              <w:t>中文科技期刊论文全文数据库 中文主要报纸全文数据库 中国专利特色数据库 博士/硕士学位论文全文数据库 中国主要会议论文特色数据库 港澳台文献资源 外文特色文献数据全库 维普优先出版论文全文数据库 互联网数据资源/互联网文档资源 高校自建资源库 图书资源 古籍文献资源 个人自建资源库 年鉴资源 IPUB原创作品</w:t>
            </w:r>
          </w:p>
        </w:tc>
      </w:tr>
    </w:tbl>
    <w:p>
      <w:pPr>
        <w:pStyle w:val="10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Cs w:val="21"/>
        </w:rPr>
        <w:t>* 职称认定版不检测互联网资源。</w:t>
      </w:r>
    </w:p>
    <w:p>
      <w:pPr>
        <w:pStyle w:val="10"/>
        <w:ind w:left="36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10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035935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Cs/>
          <w:sz w:val="24"/>
        </w:rPr>
        <w:t>提交文档：可通过直接上传文档或粘贴文本两种方式提交文档，完成后点击“下一步”进行提交。</w:t>
      </w:r>
      <w:r>
        <w:rPr>
          <w:rFonts w:hint="eastAsia" w:asciiTheme="majorEastAsia" w:hAnsiTheme="majorEastAsia" w:eastAsiaTheme="majorEastAsia"/>
          <w:b/>
          <w:bCs/>
          <w:sz w:val="24"/>
        </w:rPr>
        <w:t>其中职称版可选择在内置文献库搜索已发表得论文，一键提交检测。</w:t>
      </w:r>
    </w:p>
    <w:p>
      <w:pPr>
        <w:spacing w:line="360" w:lineRule="auto"/>
        <w:ind w:firstLine="422" w:firstLineChars="200"/>
        <w:rPr>
          <w:rFonts w:asciiTheme="majorEastAsia" w:hAnsiTheme="majorEastAsia" w:eastAsiaTheme="majorEastAsia"/>
          <w:b/>
          <w:color w:val="FF0000"/>
          <w:szCs w:val="21"/>
        </w:rPr>
      </w:pPr>
      <w:r>
        <w:rPr>
          <w:rFonts w:hint="eastAsia" w:asciiTheme="majorEastAsia" w:hAnsiTheme="majorEastAsia" w:eastAsiaTheme="majorEastAsia"/>
          <w:b/>
          <w:color w:val="FF0000"/>
          <w:szCs w:val="21"/>
        </w:rPr>
        <w:t>* 送检文档格式可为</w:t>
      </w:r>
      <w:r>
        <w:rPr>
          <w:rFonts w:asciiTheme="majorEastAsia" w:hAnsiTheme="majorEastAsia" w:eastAsiaTheme="majorEastAsia"/>
          <w:b/>
          <w:color w:val="FF0000"/>
          <w:szCs w:val="21"/>
        </w:rPr>
        <w:t>.doc/.docx/.txt</w:t>
      </w:r>
      <w:r>
        <w:rPr>
          <w:rFonts w:hint="eastAsia" w:asciiTheme="majorEastAsia" w:hAnsiTheme="majorEastAsia" w:eastAsiaTheme="majorEastAsia"/>
          <w:b/>
          <w:color w:val="FF0000"/>
          <w:szCs w:val="21"/>
        </w:rPr>
        <w:t>/.pdf</w:t>
      </w:r>
      <w:r>
        <w:rPr>
          <w:rFonts w:asciiTheme="majorEastAsia" w:hAnsiTheme="majorEastAsia" w:eastAsiaTheme="majorEastAsia"/>
          <w:b/>
          <w:color w:val="FF0000"/>
          <w:szCs w:val="21"/>
        </w:rPr>
        <w:t>文件</w:t>
      </w:r>
      <w:r>
        <w:rPr>
          <w:rFonts w:hint="eastAsia" w:asciiTheme="majorEastAsia" w:hAnsiTheme="majorEastAsia" w:eastAsiaTheme="majorEastAsia"/>
          <w:b/>
          <w:color w:val="FF0000"/>
          <w:szCs w:val="21"/>
        </w:rPr>
        <w:t>【推荐</w:t>
      </w:r>
      <w:r>
        <w:rPr>
          <w:rFonts w:asciiTheme="majorEastAsia" w:hAnsiTheme="majorEastAsia" w:eastAsiaTheme="majorEastAsia"/>
          <w:b/>
          <w:color w:val="FF0000"/>
          <w:szCs w:val="21"/>
        </w:rPr>
        <w:t>.doc/.docx/.txt</w:t>
      </w:r>
      <w:r>
        <w:rPr>
          <w:rFonts w:hint="eastAsia" w:asciiTheme="majorEastAsia" w:hAnsiTheme="majorEastAsia" w:eastAsiaTheme="majorEastAsia"/>
          <w:b/>
          <w:color w:val="FF0000"/>
          <w:szCs w:val="21"/>
        </w:rPr>
        <w:t>格式】；</w:t>
      </w:r>
    </w:p>
    <w:p>
      <w:pPr>
        <w:spacing w:line="360" w:lineRule="auto"/>
        <w:ind w:firstLine="422" w:firstLineChars="200"/>
        <w:rPr>
          <w:rFonts w:asciiTheme="majorEastAsia" w:hAnsiTheme="majorEastAsia" w:eastAsiaTheme="majorEastAsia"/>
          <w:b/>
          <w:color w:val="FF0000"/>
          <w:szCs w:val="21"/>
        </w:rPr>
      </w:pPr>
      <w:r>
        <w:rPr>
          <w:rFonts w:hint="eastAsia" w:asciiTheme="majorEastAsia" w:hAnsiTheme="majorEastAsia" w:eastAsiaTheme="majorEastAsia"/>
          <w:b/>
          <w:color w:val="FF0000"/>
          <w:szCs w:val="21"/>
        </w:rPr>
        <w:t>* 粘贴文本字数至少大于500字；</w:t>
      </w:r>
    </w:p>
    <w:p>
      <w:pPr>
        <w:spacing w:line="360" w:lineRule="auto"/>
        <w:ind w:firstLine="422" w:firstLineChars="200"/>
        <w:rPr>
          <w:rFonts w:asciiTheme="majorEastAsia" w:hAnsiTheme="majorEastAsia" w:eastAsiaTheme="majorEastAsia"/>
          <w:b/>
          <w:color w:val="FF0000"/>
          <w:szCs w:val="21"/>
        </w:rPr>
      </w:pPr>
      <w:r>
        <w:rPr>
          <w:rFonts w:hint="eastAsia" w:asciiTheme="majorEastAsia" w:hAnsiTheme="majorEastAsia" w:eastAsiaTheme="majorEastAsia"/>
          <w:b/>
          <w:color w:val="FF0000"/>
          <w:szCs w:val="21"/>
        </w:rPr>
        <w:t>* 论文题目和作者姓名选填，但建议填写完整，这两部分内容将在报告中呈现；</w:t>
      </w:r>
    </w:p>
    <w:p>
      <w:pPr>
        <w:spacing w:line="360" w:lineRule="auto"/>
        <w:ind w:firstLine="422" w:firstLineChars="200"/>
        <w:rPr>
          <w:rFonts w:asciiTheme="majorEastAsia" w:hAnsiTheme="majorEastAsia" w:eastAsiaTheme="majorEastAsia"/>
          <w:b/>
          <w:color w:val="00B0F0"/>
          <w:szCs w:val="21"/>
        </w:rPr>
      </w:pPr>
      <w:r>
        <w:rPr>
          <w:rFonts w:hint="eastAsia" w:asciiTheme="majorEastAsia" w:hAnsiTheme="majorEastAsia" w:eastAsiaTheme="majorEastAsia"/>
          <w:b/>
          <w:color w:val="00B0F0"/>
          <w:szCs w:val="21"/>
        </w:rPr>
        <w:t>【直接提交论文界面】</w:t>
      </w:r>
    </w:p>
    <w:p>
      <w:pPr>
        <w:pStyle w:val="10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314642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10"/>
        <w:ind w:left="360" w:firstLine="0" w:firstLineChars="0"/>
        <w:rPr>
          <w:rFonts w:ascii="微软雅黑" w:hAnsi="微软雅黑" w:eastAsia="微软雅黑"/>
          <w:b/>
          <w:color w:val="00B0F0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B0F0"/>
          <w:sz w:val="24"/>
          <w:szCs w:val="24"/>
        </w:rPr>
        <w:t>【职称版内置文献库检测界面】</w:t>
      </w:r>
    </w:p>
    <w:p>
      <w:pPr>
        <w:pStyle w:val="10"/>
        <w:ind w:left="360" w:firstLine="0" w:firstLineChars="0"/>
        <w:rPr>
          <w:rFonts w:ascii="微软雅黑" w:hAnsi="微软雅黑" w:eastAsia="微软雅黑"/>
          <w:b/>
          <w:color w:val="00B0F0"/>
          <w:sz w:val="24"/>
          <w:szCs w:val="24"/>
        </w:rPr>
      </w:pPr>
      <w:r>
        <w:drawing>
          <wp:inline distT="0" distB="0" distL="0" distR="0">
            <wp:extent cx="5274310" cy="28136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上传论文解析完成，确认文档信息无误后，点击提交订单。</w:t>
      </w:r>
    </w:p>
    <w:p>
      <w:pPr>
        <w:pStyle w:val="10"/>
        <w:ind w:firstLine="0" w:firstLineChars="0"/>
        <w:jc w:val="left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7960" cy="3451860"/>
            <wp:effectExtent l="0" t="0" r="889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Theme="majorEastAsia" w:hAnsiTheme="majorEastAsia" w:eastAsiaTheme="majorEastAsia"/>
          <w:bCs/>
          <w:sz w:val="24"/>
        </w:rPr>
      </w:pPr>
      <w:r>
        <w:rPr>
          <w:rFonts w:hint="eastAsia" w:asciiTheme="majorEastAsia" w:hAnsiTheme="majorEastAsia" w:eastAsiaTheme="majorEastAsia"/>
          <w:bCs/>
          <w:sz w:val="24"/>
        </w:rPr>
        <w:t>支付与付费</w:t>
      </w:r>
    </w:p>
    <w:p>
      <w:pPr>
        <w:pStyle w:val="12"/>
        <w:spacing w:line="360" w:lineRule="auto"/>
        <w:ind w:left="420" w:leftChars="200" w:firstLine="0" w:firstLineChars="0"/>
        <w:rPr>
          <w:rFonts w:asciiTheme="majorEastAsia" w:hAnsiTheme="majorEastAsia" w:eastAsiaTheme="majorEastAsia"/>
          <w:bCs/>
          <w:sz w:val="24"/>
        </w:rPr>
      </w:pPr>
      <w:r>
        <w:rPr>
          <w:rFonts w:hint="eastAsia" w:asciiTheme="majorEastAsia" w:hAnsiTheme="majorEastAsia" w:eastAsiaTheme="majorEastAsia"/>
          <w:b/>
          <w:color w:val="FF0000"/>
          <w:szCs w:val="21"/>
        </w:rPr>
        <w:t xml:space="preserve"> </w:t>
      </w:r>
      <w:r>
        <w:rPr>
          <w:rFonts w:hint="eastAsia" w:asciiTheme="majorEastAsia" w:hAnsiTheme="majorEastAsia" w:eastAsiaTheme="majorEastAsia"/>
          <w:bCs/>
          <w:sz w:val="24"/>
        </w:rPr>
        <w:t>*提供会员充值、支付宝/微信扫码支付等多种支付方式，支付成功后，将自动进入检测。自主检测付费，由维普公司收取，与学校无关。</w:t>
      </w:r>
    </w:p>
    <w:p>
      <w:pPr>
        <w:pStyle w:val="12"/>
        <w:spacing w:line="360" w:lineRule="auto"/>
        <w:ind w:left="420" w:leftChars="200" w:firstLine="0" w:firstLine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2245" cy="2835275"/>
            <wp:effectExtent l="0" t="0" r="5080" b="31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检测过程中，可以关闭页面，检测完毕后，在“个人中心”查看、下载检测报告。（注：检测报告请及时下载，检测完毕三天后，系统会自动删除检测报告，注册后检测能够长期保存报告）如图：</w:t>
      </w:r>
    </w:p>
    <w:p>
      <w:pPr>
        <w:pStyle w:val="10"/>
        <w:ind w:left="3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82638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10"/>
        <w:ind w:left="36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查看报告</w:t>
      </w:r>
    </w:p>
    <w:p>
      <w:pPr>
        <w:pStyle w:val="12"/>
        <w:spacing w:line="360" w:lineRule="auto"/>
        <w:ind w:firstLine="480" w:firstLineChars="0"/>
      </w:pPr>
      <w:r>
        <w:rPr>
          <w:rFonts w:hint="eastAsia"/>
          <w:b/>
          <w:sz w:val="24"/>
        </w:rPr>
        <w:t>下载的报告类型可分为：比对报告、片段对照报告、原文对照报告、PDF报告、格式分析报告。</w:t>
      </w:r>
    </w:p>
    <w:p>
      <w:pPr>
        <w:spacing w:line="360" w:lineRule="auto"/>
        <w:rPr>
          <w:bdr w:val="single" w:color="auto" w:sz="4" w:space="0"/>
        </w:rPr>
      </w:pPr>
      <w:r>
        <w:rPr>
          <w:rFonts w:hint="eastAsia"/>
          <w:bdr w:val="single" w:color="auto" w:sz="4" w:space="0"/>
        </w:rPr>
        <w:t>比对报告：</w:t>
      </w:r>
    </w:p>
    <w:p>
      <w:pPr>
        <w:widowControl/>
        <w:jc w:val="left"/>
      </w:pPr>
      <w:r>
        <w:drawing>
          <wp:inline distT="0" distB="0" distL="114300" distR="114300">
            <wp:extent cx="4704715" cy="2125345"/>
            <wp:effectExtent l="0" t="0" r="635" b="825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spacing w:line="360" w:lineRule="auto"/>
        <w:rPr>
          <w:bdr w:val="single" w:color="auto" w:sz="4" w:space="0"/>
        </w:rPr>
      </w:pPr>
      <w:r>
        <w:rPr>
          <w:rFonts w:hint="eastAsia"/>
          <w:bdr w:val="single" w:color="auto" w:sz="4" w:space="0"/>
        </w:rPr>
        <w:t>片段对照报告：</w:t>
      </w:r>
    </w:p>
    <w:p>
      <w:pPr>
        <w:spacing w:line="360" w:lineRule="auto"/>
        <w:rPr>
          <w:bdr w:val="single" w:color="auto" w:sz="4" w:space="0"/>
        </w:rPr>
      </w:pPr>
      <w:bookmarkStart w:id="0" w:name="_GoBack"/>
      <w:r>
        <w:drawing>
          <wp:inline distT="0" distB="0" distL="114300" distR="114300">
            <wp:extent cx="4574540" cy="4613275"/>
            <wp:effectExtent l="0" t="0" r="16510" b="1587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461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drawing>
          <wp:inline distT="0" distB="0" distL="114300" distR="114300">
            <wp:extent cx="4816475" cy="3053080"/>
            <wp:effectExtent l="0" t="0" r="3175" b="1397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Cs w:val="21"/>
        </w:rPr>
      </w:pPr>
      <w:r>
        <w:drawing>
          <wp:inline distT="0" distB="0" distL="114300" distR="114300">
            <wp:extent cx="4921885" cy="4556125"/>
            <wp:effectExtent l="0" t="0" r="12065" b="1587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pacing w:line="360" w:lineRule="auto"/>
        <w:rPr>
          <w:bdr w:val="single" w:color="auto" w:sz="4" w:space="0"/>
        </w:rPr>
      </w:pPr>
      <w:r>
        <w:rPr>
          <w:rFonts w:hint="eastAsia"/>
          <w:bdr w:val="single" w:color="auto" w:sz="4" w:space="0"/>
        </w:rPr>
        <w:t>原文对照报告：</w:t>
      </w:r>
    </w:p>
    <w:p>
      <w:pPr>
        <w:ind w:firstLine="420"/>
      </w:pPr>
      <w:r>
        <w:drawing>
          <wp:inline distT="0" distB="0" distL="114300" distR="114300">
            <wp:extent cx="5636895" cy="6175375"/>
            <wp:effectExtent l="0" t="0" r="1905" b="1587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617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/>
    <w:p>
      <w:pPr>
        <w:ind w:firstLine="420"/>
      </w:pPr>
    </w:p>
    <w:p>
      <w:pPr>
        <w:spacing w:line="360" w:lineRule="auto"/>
        <w:rPr>
          <w:bdr w:val="single" w:color="auto" w:sz="4" w:space="0"/>
        </w:rPr>
      </w:pPr>
      <w:r>
        <w:rPr>
          <w:rFonts w:hint="eastAsia"/>
          <w:bdr w:val="single" w:color="auto" w:sz="4" w:space="0"/>
        </w:rPr>
        <w:t>PDF报告：</w:t>
      </w:r>
    </w:p>
    <w:p>
      <w:pPr>
        <w:ind w:firstLine="420"/>
      </w:pPr>
      <w:r>
        <w:drawing>
          <wp:inline distT="0" distB="0" distL="114300" distR="114300">
            <wp:extent cx="5267960" cy="6139180"/>
            <wp:effectExtent l="0" t="0" r="8890" b="1397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3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spacing w:line="360" w:lineRule="auto"/>
        <w:rPr>
          <w:bdr w:val="single" w:color="auto" w:sz="4" w:space="0"/>
        </w:rPr>
      </w:pPr>
      <w:r>
        <w:rPr>
          <w:rFonts w:hint="eastAsia"/>
          <w:bdr w:val="single" w:color="auto" w:sz="4" w:space="0"/>
        </w:rPr>
        <w:t>格式分析报告：</w:t>
      </w:r>
    </w:p>
    <w:p>
      <w:pPr>
        <w:pStyle w:val="10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925185" cy="6616065"/>
            <wp:effectExtent l="0" t="0" r="18415" b="13335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661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Sylfaen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&amp;quo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1664F"/>
    <w:multiLevelType w:val="multilevel"/>
    <w:tmpl w:val="31C1664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Theme="minorHAnsi" w:hAnsiTheme="minorHAnsi" w:eastAsiaTheme="minorEastAsia" w:cstheme="minorBidi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BB"/>
    <w:rsid w:val="000D4893"/>
    <w:rsid w:val="00143F48"/>
    <w:rsid w:val="0017616D"/>
    <w:rsid w:val="00190F9E"/>
    <w:rsid w:val="00234313"/>
    <w:rsid w:val="00235ED2"/>
    <w:rsid w:val="00385A8F"/>
    <w:rsid w:val="004313E6"/>
    <w:rsid w:val="004B35EC"/>
    <w:rsid w:val="005273EB"/>
    <w:rsid w:val="005F540A"/>
    <w:rsid w:val="0061580E"/>
    <w:rsid w:val="00650C8B"/>
    <w:rsid w:val="0067424B"/>
    <w:rsid w:val="00715A21"/>
    <w:rsid w:val="0076030D"/>
    <w:rsid w:val="008C43C1"/>
    <w:rsid w:val="00960F0C"/>
    <w:rsid w:val="00965E47"/>
    <w:rsid w:val="00A25C39"/>
    <w:rsid w:val="00A46964"/>
    <w:rsid w:val="00B16B50"/>
    <w:rsid w:val="00B335EA"/>
    <w:rsid w:val="00B81EA2"/>
    <w:rsid w:val="00C91076"/>
    <w:rsid w:val="00CE4F28"/>
    <w:rsid w:val="00D40473"/>
    <w:rsid w:val="00DA1BBB"/>
    <w:rsid w:val="00DA1D9B"/>
    <w:rsid w:val="00F117BA"/>
    <w:rsid w:val="1C3C637D"/>
    <w:rsid w:val="5070610A"/>
    <w:rsid w:val="626347E8"/>
    <w:rsid w:val="6DD6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字符"/>
    <w:basedOn w:val="5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5"/>
    <w:link w:val="2"/>
    <w:semiHidden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1</Pages>
  <Words>149</Words>
  <Characters>853</Characters>
  <Lines>7</Lines>
  <Paragraphs>1</Paragraphs>
  <TotalTime>71</TotalTime>
  <ScaleCrop>false</ScaleCrop>
  <LinksUpToDate>false</LinksUpToDate>
  <CharactersWithSpaces>1001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2018-03-18T21:51:00Z</dcterms:created>
  <dc:creator>微软用户</dc:creator>
  <cp:lastModifiedBy>samsung</cp:lastModifiedBy>
  <dcterms:modified xsi:type="dcterms:W3CDTF">2018-09-28T09:37:20Z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